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на аукционе,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12.08.2002 </w:t>
      </w:r>
      <w:r w:rsidR="009E5EA9">
        <w:rPr>
          <w:sz w:val="24"/>
          <w:szCs w:val="24"/>
        </w:rPr>
        <w:t xml:space="preserve">года </w:t>
      </w:r>
      <w:r w:rsidR="009E5EA9">
        <w:rPr>
          <w:sz w:val="24"/>
          <w:szCs w:val="24"/>
        </w:rPr>
        <w:br/>
      </w:r>
      <w:r w:rsidR="00985083" w:rsidRPr="009E5EA9">
        <w:rPr>
          <w:sz w:val="24"/>
          <w:szCs w:val="24"/>
        </w:rPr>
        <w:t xml:space="preserve">№ 585, </w:t>
      </w:r>
      <w:r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9E5EA9">
        <w:rPr>
          <w:sz w:val="24"/>
          <w:szCs w:val="24"/>
          <w:u w:val="single"/>
        </w:rPr>
        <w:t>http://utp.sberbank-ast.ru/AP/Notice/1027/Instructions</w:t>
      </w:r>
      <w:r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06.06.2019 года № 179 «О продаже муниципального имущества на аукционе»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 xml:space="preserve">. Озёрный, </w:t>
      </w:r>
      <w:r w:rsidR="009E5EA9">
        <w:rPr>
          <w:rFonts w:ascii="Times New Roman" w:hAnsi="Times New Roman"/>
          <w:sz w:val="24"/>
          <w:szCs w:val="24"/>
        </w:rPr>
        <w:br/>
      </w:r>
      <w:r w:rsidR="009E5EA9" w:rsidRPr="009E5EA9">
        <w:rPr>
          <w:rFonts w:ascii="Times New Roman" w:hAnsi="Times New Roman"/>
          <w:sz w:val="24"/>
          <w:szCs w:val="24"/>
        </w:rPr>
        <w:t>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>: открытый аукцион в электронной форме.</w:t>
      </w:r>
    </w:p>
    <w:p w:rsidR="009E5EA9" w:rsidRDefault="008730EA" w:rsidP="00FB5D8F">
      <w:pPr>
        <w:ind w:left="567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5. Начальная цена продажи муниципального имущества и сумма задатка: </w:t>
      </w:r>
      <w:r w:rsidR="009E5EA9" w:rsidRPr="009E5EA9">
        <w:rPr>
          <w:sz w:val="24"/>
          <w:szCs w:val="24"/>
        </w:rPr>
        <w:t xml:space="preserve">Начальная цена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начальной цены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200 000,00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</w:t>
      </w:r>
      <w:r w:rsidRPr="009E5EA9">
        <w:rPr>
          <w:sz w:val="24"/>
          <w:szCs w:val="24"/>
        </w:rPr>
        <w:lastRenderedPageBreak/>
        <w:t>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</w:t>
      </w:r>
      <w:r w:rsidRPr="009E5EA9">
        <w:rPr>
          <w:sz w:val="24"/>
          <w:szCs w:val="24"/>
        </w:rPr>
        <w:lastRenderedPageBreak/>
        <w:t>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CE656A">
        <w:rPr>
          <w:b/>
          <w:sz w:val="24"/>
          <w:szCs w:val="24"/>
        </w:rPr>
        <w:t>29 мая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20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CE656A">
        <w:rPr>
          <w:b/>
          <w:sz w:val="24"/>
          <w:szCs w:val="24"/>
        </w:rPr>
        <w:t>29 июня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Рассмотрение заявок и признание претендентов участниками аукциона</w:t>
      </w:r>
      <w:r w:rsidRPr="009E5EA9">
        <w:rPr>
          <w:sz w:val="24"/>
          <w:szCs w:val="24"/>
        </w:rPr>
        <w:t xml:space="preserve"> –</w:t>
      </w:r>
      <w:r w:rsidR="00DE6501" w:rsidRPr="009E5EA9">
        <w:rPr>
          <w:sz w:val="24"/>
          <w:szCs w:val="24"/>
        </w:rPr>
        <w:t xml:space="preserve"> </w:t>
      </w:r>
      <w:r w:rsidR="00CE656A">
        <w:rPr>
          <w:b/>
          <w:sz w:val="24"/>
          <w:szCs w:val="24"/>
        </w:rPr>
        <w:t>2 июля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– </w:t>
      </w:r>
      <w:r w:rsidR="00CE656A">
        <w:rPr>
          <w:b/>
          <w:color w:val="000000" w:themeColor="text1"/>
          <w:sz w:val="24"/>
          <w:szCs w:val="24"/>
        </w:rPr>
        <w:t>6 июля</w:t>
      </w:r>
      <w:bookmarkStart w:id="0" w:name="_GoBack"/>
      <w:bookmarkEnd w:id="0"/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lastRenderedPageBreak/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E01CD"/>
    <w:rsid w:val="006E34D4"/>
    <w:rsid w:val="006F1ECA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2590F"/>
    <w:rsid w:val="00B35F34"/>
    <w:rsid w:val="00B70C8A"/>
    <w:rsid w:val="00B93A13"/>
    <w:rsid w:val="00B94096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905A2"/>
    <w:rsid w:val="00DA623C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8C0E-3805-4985-9AAB-8AA387BF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3253</Words>
  <Characters>18547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50</cp:revision>
  <cp:lastPrinted>2018-03-01T09:21:00Z</cp:lastPrinted>
  <dcterms:created xsi:type="dcterms:W3CDTF">2019-05-27T07:34:00Z</dcterms:created>
  <dcterms:modified xsi:type="dcterms:W3CDTF">2020-05-25T12:56:00Z</dcterms:modified>
</cp:coreProperties>
</file>